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DDCDE" w14:textId="36728CC6" w:rsidR="006657F6" w:rsidRDefault="00856513" w:rsidP="006657F6">
      <w:pPr>
        <w:pStyle w:val="Heading1"/>
        <w:rPr>
          <w:rFonts w:eastAsia="Times New Roman"/>
          <w:sz w:val="22"/>
        </w:rPr>
      </w:pPr>
      <w:r>
        <w:rPr>
          <w:rFonts w:eastAsia="Times New Roman"/>
        </w:rPr>
        <w:t xml:space="preserve">Tip sheet - </w:t>
      </w:r>
      <w:r w:rsidR="006657F6">
        <w:rPr>
          <w:rFonts w:eastAsia="Times New Roman"/>
        </w:rPr>
        <w:t>What to</w:t>
      </w:r>
      <w:r>
        <w:rPr>
          <w:rFonts w:eastAsia="Times New Roman"/>
        </w:rPr>
        <w:t xml:space="preserve"> do when support needs change</w:t>
      </w:r>
      <w:r w:rsidR="007C53D9">
        <w:rPr>
          <w:rFonts w:eastAsia="Times New Roman"/>
        </w:rPr>
        <w:t>?</w:t>
      </w:r>
    </w:p>
    <w:p w14:paraId="721B661A" w14:textId="6D0F53F7" w:rsidR="0060426B" w:rsidRPr="0060426B" w:rsidRDefault="0060426B" w:rsidP="0060426B">
      <w:r w:rsidRPr="0060426B">
        <w:t>The NDIS Workforce Capability Framework (the Framework) describes ‘what good looks like’ for participants when they receive NDIS</w:t>
      </w:r>
      <w:r w:rsidR="0056748C">
        <w:t xml:space="preserve"> supports and services. U</w:t>
      </w:r>
      <w:r w:rsidRPr="0060426B">
        <w:t>se the Framework to identify what</w:t>
      </w:r>
      <w:r w:rsidR="0056748C">
        <w:t xml:space="preserve"> the</w:t>
      </w:r>
      <w:r w:rsidRPr="0060426B">
        <w:t xml:space="preserve"> </w:t>
      </w:r>
      <w:r w:rsidR="0056748C">
        <w:t xml:space="preserve">behaviour, </w:t>
      </w:r>
      <w:r w:rsidRPr="0060426B">
        <w:t xml:space="preserve">skills </w:t>
      </w:r>
      <w:r w:rsidR="0056748C">
        <w:t xml:space="preserve">and knowledge </w:t>
      </w:r>
      <w:r w:rsidRPr="0060426B">
        <w:t xml:space="preserve">your worker or provider </w:t>
      </w:r>
      <w:r w:rsidR="0056748C">
        <w:t>should have</w:t>
      </w:r>
      <w:r w:rsidRPr="0060426B">
        <w:t xml:space="preserve">. </w:t>
      </w:r>
    </w:p>
    <w:p w14:paraId="78EF99BD" w14:textId="62B0D62E" w:rsidR="0060426B" w:rsidRDefault="009A4EC3" w:rsidP="007C53D9">
      <w:r>
        <w:t>When your needs change you may need to</w:t>
      </w:r>
      <w:r w:rsidR="0060426B">
        <w:t xml:space="preserve"> change:</w:t>
      </w:r>
    </w:p>
    <w:p w14:paraId="49FAF744" w14:textId="7FAFA6D3" w:rsidR="0056748C" w:rsidRDefault="00CD00E7" w:rsidP="00CD00E7">
      <w:pPr>
        <w:pStyle w:val="Bullet1"/>
      </w:pPr>
      <w:r>
        <w:t>T</w:t>
      </w:r>
      <w:r w:rsidR="0060426B">
        <w:t xml:space="preserve">he way your support is provided </w:t>
      </w:r>
      <w:r w:rsidR="005D249E">
        <w:t xml:space="preserve">by </w:t>
      </w:r>
      <w:r w:rsidR="0060426B">
        <w:t>workers</w:t>
      </w:r>
    </w:p>
    <w:p w14:paraId="45031C88" w14:textId="36634FB4" w:rsidR="007C53D9" w:rsidRDefault="00CD00E7" w:rsidP="00CD00E7">
      <w:pPr>
        <w:pStyle w:val="Bullet1"/>
      </w:pPr>
      <w:r>
        <w:t>T</w:t>
      </w:r>
      <w:r w:rsidR="0056748C">
        <w:t>he skills and knowledge workers and providers have</w:t>
      </w:r>
    </w:p>
    <w:p w14:paraId="26A4C160" w14:textId="2D3CB463" w:rsidR="0060426B" w:rsidRDefault="00CD00E7" w:rsidP="00CD00E7">
      <w:pPr>
        <w:pStyle w:val="Bullet1"/>
      </w:pPr>
      <w:r>
        <w:t>T</w:t>
      </w:r>
      <w:r w:rsidR="00537B45">
        <w:t xml:space="preserve">he </w:t>
      </w:r>
      <w:r w:rsidR="0056748C">
        <w:t>workers or providers.</w:t>
      </w:r>
      <w:r w:rsidR="009A4EC3">
        <w:t xml:space="preserve"> </w:t>
      </w:r>
    </w:p>
    <w:p w14:paraId="43369D3B" w14:textId="3C147FE3" w:rsidR="000C6D83" w:rsidRPr="000C6D83" w:rsidRDefault="007C53D9" w:rsidP="005050B7">
      <w:pPr>
        <w:pStyle w:val="Heading2"/>
      </w:pPr>
      <w:r>
        <w:t>Change</w:t>
      </w:r>
      <w:r w:rsidR="0060426B">
        <w:t xml:space="preserve"> the way support is provided</w:t>
      </w:r>
    </w:p>
    <w:p w14:paraId="4F4E59AE" w14:textId="035A89B0" w:rsidR="006657F6" w:rsidRDefault="007C53D9" w:rsidP="007C53D9">
      <w:pPr>
        <w:pStyle w:val="Heading3"/>
      </w:pPr>
      <w:r>
        <w:t>Provide</w:t>
      </w:r>
      <w:r w:rsidR="006657F6">
        <w:t xml:space="preserve"> feedback to workers</w:t>
      </w:r>
    </w:p>
    <w:p w14:paraId="5F7AA01F" w14:textId="07587585" w:rsidR="00355525" w:rsidRDefault="002A0D64" w:rsidP="007C53D9">
      <w:r w:rsidRPr="00736DE9">
        <w:rPr>
          <w:i/>
          <w:noProof/>
          <w:lang w:eastAsia="en-AU"/>
        </w:rPr>
        <w:drawing>
          <wp:anchor distT="0" distB="0" distL="114300" distR="114300" simplePos="0" relativeHeight="251658240" behindDoc="0" locked="0" layoutInCell="1" allowOverlap="1" wp14:anchorId="23B3F244" wp14:editId="6965C3B3">
            <wp:simplePos x="0" y="0"/>
            <wp:positionH relativeFrom="column">
              <wp:posOffset>-4250</wp:posOffset>
            </wp:positionH>
            <wp:positionV relativeFrom="page">
              <wp:posOffset>6394450</wp:posOffset>
            </wp:positionV>
            <wp:extent cx="504000" cy="507600"/>
            <wp:effectExtent l="0" t="0" r="0" b="6985"/>
            <wp:wrapSquare wrapText="bothSides"/>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FNAS002N\Users\SJ0056\My Documents\Strategy and Policy work\WCF\Communications\NDIS Icons\Outline\Green\PNG\conversation-outline-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7F6">
        <w:t xml:space="preserve">If your supports </w:t>
      </w:r>
      <w:r w:rsidR="00D2759F">
        <w:t xml:space="preserve">needs </w:t>
      </w:r>
      <w:r w:rsidR="006657F6">
        <w:t>have changed and workers need to support yo</w:t>
      </w:r>
      <w:r w:rsidR="00FF3722">
        <w:t xml:space="preserve">u differently, you can use the </w:t>
      </w:r>
      <w:hyperlink r:id="rId9" w:history="1">
        <w:r w:rsidR="000C6D83">
          <w:rPr>
            <w:rStyle w:val="Hyperlink"/>
          </w:rPr>
          <w:t>s</w:t>
        </w:r>
        <w:r w:rsidR="006657F6" w:rsidRPr="00FF3722">
          <w:rPr>
            <w:rStyle w:val="Hyperlink"/>
          </w:rPr>
          <w:t>upervision resources</w:t>
        </w:r>
      </w:hyperlink>
      <w:r w:rsidR="006657F6">
        <w:t xml:space="preserve"> to </w:t>
      </w:r>
      <w:r w:rsidR="00FF3722">
        <w:t>help you</w:t>
      </w:r>
      <w:r w:rsidR="006657F6">
        <w:t>. The</w:t>
      </w:r>
      <w:r w:rsidR="009A4EC3">
        <w:t>y give tips and examples to</w:t>
      </w:r>
      <w:r w:rsidR="006657F6">
        <w:t xml:space="preserve"> </w:t>
      </w:r>
      <w:r w:rsidR="0080215D">
        <w:t xml:space="preserve">help </w:t>
      </w:r>
      <w:r w:rsidR="006657F6">
        <w:t>you</w:t>
      </w:r>
      <w:r w:rsidR="00D2759F">
        <w:t xml:space="preserve"> talk to workers about the way they </w:t>
      </w:r>
      <w:r w:rsidR="00B02A41">
        <w:t>support you</w:t>
      </w:r>
      <w:r w:rsidR="00D2759F">
        <w:t>.</w:t>
      </w:r>
      <w:r w:rsidR="006657F6">
        <w:t xml:space="preserve"> </w:t>
      </w:r>
      <w:r w:rsidR="00355525">
        <w:t xml:space="preserve">For example: </w:t>
      </w:r>
    </w:p>
    <w:p w14:paraId="5076A592" w14:textId="6359CE9E" w:rsidR="00355525" w:rsidRPr="00DC1535" w:rsidRDefault="00355525" w:rsidP="00DC1535">
      <w:pPr>
        <w:ind w:left="720"/>
        <w:rPr>
          <w:i/>
        </w:rPr>
      </w:pPr>
      <w:r w:rsidRPr="00DC1535">
        <w:rPr>
          <w:i/>
        </w:rPr>
        <w:t xml:space="preserve">Terri’s doctor changed her medication and she </w:t>
      </w:r>
      <w:r w:rsidR="0056748C">
        <w:rPr>
          <w:i/>
        </w:rPr>
        <w:t xml:space="preserve">now </w:t>
      </w:r>
      <w:r w:rsidRPr="00DC1535">
        <w:rPr>
          <w:i/>
        </w:rPr>
        <w:t xml:space="preserve">has to take tablets at dinner. Terri </w:t>
      </w:r>
      <w:r w:rsidR="005D249E">
        <w:rPr>
          <w:i/>
        </w:rPr>
        <w:t xml:space="preserve">has regular check in’s with her workers. She </w:t>
      </w:r>
      <w:r w:rsidRPr="00DC1535">
        <w:rPr>
          <w:i/>
        </w:rPr>
        <w:t>tells her workers about the change to her dinner routine</w:t>
      </w:r>
      <w:r w:rsidR="00DC1535" w:rsidRPr="00DC1535">
        <w:rPr>
          <w:i/>
        </w:rPr>
        <w:t xml:space="preserve"> in her regular check in’s</w:t>
      </w:r>
      <w:r w:rsidRPr="00DC1535">
        <w:rPr>
          <w:i/>
        </w:rPr>
        <w:t>.</w:t>
      </w:r>
    </w:p>
    <w:p w14:paraId="6203722D" w14:textId="3A81C536" w:rsidR="00EA5F30" w:rsidRDefault="00EA5F30" w:rsidP="006657F6">
      <w:r>
        <w:t xml:space="preserve">Providing </w:t>
      </w:r>
      <w:r w:rsidR="009A4EC3">
        <w:t xml:space="preserve">regular </w:t>
      </w:r>
      <w:r>
        <w:t xml:space="preserve">feedback is </w:t>
      </w:r>
      <w:r w:rsidR="009A4EC3">
        <w:t>a way of making sure yo</w:t>
      </w:r>
      <w:r w:rsidR="00011E35">
        <w:t>ur workers are supporting you</w:t>
      </w:r>
      <w:r w:rsidR="009A4EC3">
        <w:t xml:space="preserve"> well and building a </w:t>
      </w:r>
      <w:r>
        <w:t xml:space="preserve">good </w:t>
      </w:r>
      <w:r w:rsidR="009A4EC3">
        <w:t>relationship. You can use</w:t>
      </w:r>
      <w:r>
        <w:t xml:space="preserve"> the </w:t>
      </w:r>
      <w:hyperlink r:id="rId10" w:history="1">
        <w:r w:rsidR="007C53D9" w:rsidRPr="000C727D">
          <w:rPr>
            <w:rStyle w:val="Hyperlink"/>
          </w:rPr>
          <w:t>G</w:t>
        </w:r>
        <w:r w:rsidR="009A4EC3" w:rsidRPr="000C727D">
          <w:rPr>
            <w:rStyle w:val="Hyperlink"/>
          </w:rPr>
          <w:t>iving feedback</w:t>
        </w:r>
        <w:r w:rsidR="005D249E" w:rsidRPr="007C37BE">
          <w:rPr>
            <w:rStyle w:val="Hyperlink"/>
          </w:rPr>
          <w:t xml:space="preserve"> to workers and providers</w:t>
        </w:r>
      </w:hyperlink>
      <w:r w:rsidR="007C37BE">
        <w:t xml:space="preserve"> tip sheet</w:t>
      </w:r>
      <w:r w:rsidR="009A4EC3">
        <w:t xml:space="preserve"> and </w:t>
      </w:r>
      <w:r w:rsidR="005D249E">
        <w:t xml:space="preserve">the </w:t>
      </w:r>
      <w:hyperlink r:id="rId11" w:history="1">
        <w:r w:rsidR="007C37BE" w:rsidRPr="007C37BE">
          <w:rPr>
            <w:rStyle w:val="Hyperlink"/>
          </w:rPr>
          <w:t>Giving feedback to workers</w:t>
        </w:r>
      </w:hyperlink>
      <w:r w:rsidR="007C37BE">
        <w:t xml:space="preserve"> checklist </w:t>
      </w:r>
      <w:r>
        <w:t xml:space="preserve">for </w:t>
      </w:r>
      <w:r w:rsidR="009A4EC3">
        <w:t xml:space="preserve">ideas </w:t>
      </w:r>
      <w:r>
        <w:t>of how to provide feedback</w:t>
      </w:r>
      <w:r w:rsidR="005D249E">
        <w:t>.</w:t>
      </w:r>
      <w:r>
        <w:t xml:space="preserve"> </w:t>
      </w:r>
    </w:p>
    <w:p w14:paraId="0287A49F" w14:textId="34EABD9E" w:rsidR="00FF3722" w:rsidRDefault="007C53D9" w:rsidP="00FF3722">
      <w:pPr>
        <w:pStyle w:val="Heading3"/>
      </w:pPr>
      <w:r>
        <w:t>Support</w:t>
      </w:r>
      <w:r w:rsidR="00FF3722">
        <w:t xml:space="preserve"> workers to get training</w:t>
      </w:r>
    </w:p>
    <w:p w14:paraId="18873377" w14:textId="2C35EF45" w:rsidR="00DC1535" w:rsidRDefault="00FF3722" w:rsidP="007C53D9">
      <w:r>
        <w:t>If your support needs h</w:t>
      </w:r>
      <w:r w:rsidR="002A578C">
        <w:t>ave changed, y</w:t>
      </w:r>
      <w:r>
        <w:t>ou may n</w:t>
      </w:r>
      <w:r w:rsidR="002A578C">
        <w:t>ee</w:t>
      </w:r>
      <w:r w:rsidR="00DC1535">
        <w:t>d your workers to be trained in</w:t>
      </w:r>
      <w:r w:rsidR="00B02A41">
        <w:t xml:space="preserve"> new </w:t>
      </w:r>
      <w:r w:rsidR="00DC1535">
        <w:t>skills</w:t>
      </w:r>
      <w:r w:rsidR="002A578C">
        <w:t xml:space="preserve">. </w:t>
      </w:r>
    </w:p>
    <w:p w14:paraId="6DCEBC1E" w14:textId="35EAC05D" w:rsidR="00393F41" w:rsidRDefault="00393F41" w:rsidP="00C07C08">
      <w:r>
        <w:t xml:space="preserve">The change might </w:t>
      </w:r>
      <w:r w:rsidR="00C07C08">
        <w:t xml:space="preserve">mean workers now need </w:t>
      </w:r>
      <w:r w:rsidR="007C53D9">
        <w:t>to deliver</w:t>
      </w:r>
      <w:r w:rsidR="002A578C">
        <w:t xml:space="preserve"> high intensity daily personal activities, </w:t>
      </w:r>
      <w:r w:rsidR="00C07C08">
        <w:t xml:space="preserve">or a </w:t>
      </w:r>
      <w:r w:rsidR="002A578C">
        <w:t>behaviour support</w:t>
      </w:r>
      <w:r w:rsidR="00C07C08">
        <w:t xml:space="preserve"> strategy. Ther</w:t>
      </w:r>
      <w:r w:rsidR="000C727D">
        <w:t>e</w:t>
      </w:r>
      <w:r w:rsidR="00C07C08">
        <w:t xml:space="preserve"> might be new Assistive Technology item that workers need training in.</w:t>
      </w:r>
      <w:r>
        <w:br w:type="page"/>
      </w:r>
    </w:p>
    <w:p w14:paraId="27B463B5" w14:textId="4AEF6653" w:rsidR="00E82FE7" w:rsidRDefault="007C53D9" w:rsidP="007C53D9">
      <w:r>
        <w:lastRenderedPageBreak/>
        <w:t>For example:</w:t>
      </w:r>
    </w:p>
    <w:p w14:paraId="1DF965C9" w14:textId="5D355A9D" w:rsidR="000064C3" w:rsidRPr="007C53D9" w:rsidRDefault="00736DE9" w:rsidP="007C53D9">
      <w:pPr>
        <w:ind w:left="720"/>
        <w:rPr>
          <w:i/>
        </w:rPr>
      </w:pPr>
      <w:r>
        <w:rPr>
          <w:i/>
          <w:noProof/>
          <w:lang w:eastAsia="en-AU"/>
        </w:rPr>
        <w:drawing>
          <wp:anchor distT="0" distB="0" distL="114300" distR="114300" simplePos="0" relativeHeight="251659264" behindDoc="0" locked="0" layoutInCell="1" allowOverlap="1" wp14:anchorId="1A261B9F" wp14:editId="28851979">
            <wp:simplePos x="0" y="0"/>
            <wp:positionH relativeFrom="column">
              <wp:posOffset>4250</wp:posOffset>
            </wp:positionH>
            <wp:positionV relativeFrom="paragraph">
              <wp:posOffset>78887</wp:posOffset>
            </wp:positionV>
            <wp:extent cx="506095" cy="511810"/>
            <wp:effectExtent l="0" t="0" r="8255" b="2540"/>
            <wp:wrapSquare wrapText="bothSides"/>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511810"/>
                    </a:xfrm>
                    <a:prstGeom prst="rect">
                      <a:avLst/>
                    </a:prstGeom>
                    <a:noFill/>
                  </pic:spPr>
                </pic:pic>
              </a:graphicData>
            </a:graphic>
          </wp:anchor>
        </w:drawing>
      </w:r>
      <w:r w:rsidR="00E82FE7">
        <w:rPr>
          <w:i/>
        </w:rPr>
        <w:t xml:space="preserve">Example 1: </w:t>
      </w:r>
      <w:r w:rsidR="00454EFE" w:rsidRPr="007C53D9">
        <w:rPr>
          <w:i/>
        </w:rPr>
        <w:t>Thalia has changed from using a manual wheelchair</w:t>
      </w:r>
      <w:r w:rsidR="000064C3" w:rsidRPr="007C53D9">
        <w:rPr>
          <w:i/>
        </w:rPr>
        <w:t xml:space="preserve"> to having a</w:t>
      </w:r>
      <w:r w:rsidR="00454EFE" w:rsidRPr="007C53D9">
        <w:rPr>
          <w:i/>
        </w:rPr>
        <w:t>n</w:t>
      </w:r>
      <w:r w:rsidR="000064C3" w:rsidRPr="007C53D9">
        <w:rPr>
          <w:i/>
        </w:rPr>
        <w:t xml:space="preserve"> </w:t>
      </w:r>
      <w:r w:rsidR="00454EFE" w:rsidRPr="007C53D9">
        <w:rPr>
          <w:i/>
        </w:rPr>
        <w:t>electric</w:t>
      </w:r>
      <w:r w:rsidR="000064C3" w:rsidRPr="007C53D9">
        <w:rPr>
          <w:i/>
        </w:rPr>
        <w:t xml:space="preserve"> </w:t>
      </w:r>
      <w:r w:rsidR="00454EFE" w:rsidRPr="007C53D9">
        <w:rPr>
          <w:i/>
        </w:rPr>
        <w:t>wheelchair and using a new hoist. She organises an occupational therapist</w:t>
      </w:r>
      <w:r w:rsidR="000064C3" w:rsidRPr="007C53D9">
        <w:rPr>
          <w:i/>
        </w:rPr>
        <w:t xml:space="preserve"> to check the skills her workers have</w:t>
      </w:r>
      <w:r w:rsidR="000C727D">
        <w:rPr>
          <w:i/>
        </w:rPr>
        <w:t xml:space="preserve"> on using a hoist. The therapist</w:t>
      </w:r>
      <w:r w:rsidR="000064C3" w:rsidRPr="007C53D9">
        <w:rPr>
          <w:i/>
        </w:rPr>
        <w:t xml:space="preserve"> provide</w:t>
      </w:r>
      <w:r w:rsidR="000C727D">
        <w:rPr>
          <w:i/>
        </w:rPr>
        <w:t>s</w:t>
      </w:r>
      <w:r w:rsidR="000064C3" w:rsidRPr="007C53D9">
        <w:rPr>
          <w:i/>
        </w:rPr>
        <w:t xml:space="preserve"> training in </w:t>
      </w:r>
      <w:r w:rsidR="00454EFE" w:rsidRPr="007C53D9">
        <w:rPr>
          <w:i/>
        </w:rPr>
        <w:t>the new equipment and transferring safely.</w:t>
      </w:r>
    </w:p>
    <w:p w14:paraId="1B98E7FD" w14:textId="2C2C75B4" w:rsidR="00DC1535" w:rsidRPr="007C37BE" w:rsidRDefault="009E239E" w:rsidP="007C53D9">
      <w:pPr>
        <w:ind w:left="720"/>
        <w:rPr>
          <w:i/>
        </w:rPr>
      </w:pPr>
      <w:bookmarkStart w:id="0" w:name="_GoBack"/>
      <w:r>
        <w:rPr>
          <w:i/>
          <w:noProof/>
          <w:lang w:eastAsia="en-AU"/>
        </w:rPr>
        <w:drawing>
          <wp:anchor distT="0" distB="0" distL="114300" distR="114300" simplePos="0" relativeHeight="251662336" behindDoc="0" locked="0" layoutInCell="1" allowOverlap="1" wp14:anchorId="443E4A4B" wp14:editId="1EF4F3DD">
            <wp:simplePos x="0" y="0"/>
            <wp:positionH relativeFrom="column">
              <wp:posOffset>0</wp:posOffset>
            </wp:positionH>
            <wp:positionV relativeFrom="paragraph">
              <wp:posOffset>11479</wp:posOffset>
            </wp:positionV>
            <wp:extent cx="506095" cy="511810"/>
            <wp:effectExtent l="0" t="0" r="8255" b="2540"/>
            <wp:wrapSquare wrapText="bothSides"/>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5" cy="511810"/>
                    </a:xfrm>
                    <a:prstGeom prst="rect">
                      <a:avLst/>
                    </a:prstGeom>
                    <a:noFill/>
                  </pic:spPr>
                </pic:pic>
              </a:graphicData>
            </a:graphic>
          </wp:anchor>
        </w:drawing>
      </w:r>
      <w:bookmarkEnd w:id="0"/>
      <w:r w:rsidR="00E82FE7">
        <w:rPr>
          <w:i/>
        </w:rPr>
        <w:t xml:space="preserve">Example 2: </w:t>
      </w:r>
      <w:r w:rsidR="00DC1535" w:rsidRPr="007C53D9">
        <w:rPr>
          <w:i/>
        </w:rPr>
        <w:t xml:space="preserve">Melanie’s Behaviour Support practitioner has a new strategy to help Melanie stay calm in the car. Melanie </w:t>
      </w:r>
      <w:r w:rsidR="000064C3" w:rsidRPr="007C53D9">
        <w:rPr>
          <w:i/>
        </w:rPr>
        <w:t xml:space="preserve">makes sure each worker gets time with her practitioner and </w:t>
      </w:r>
      <w:r w:rsidR="000064C3" w:rsidRPr="007C37BE">
        <w:rPr>
          <w:i/>
        </w:rPr>
        <w:t>is listening to her give feedback on the strategy.</w:t>
      </w:r>
    </w:p>
    <w:p w14:paraId="4E409E74" w14:textId="026EE62F" w:rsidR="00856513" w:rsidRDefault="00856513" w:rsidP="007C53D9">
      <w:r w:rsidRPr="007C37BE">
        <w:t>The</w:t>
      </w:r>
      <w:r w:rsidR="00E82FE7">
        <w:t xml:space="preserve"> guide</w:t>
      </w:r>
      <w:r w:rsidRPr="007C37BE">
        <w:t xml:space="preserve"> </w:t>
      </w:r>
      <w:hyperlink r:id="rId14" w:history="1">
        <w:r w:rsidR="007C37BE" w:rsidRPr="007C37BE">
          <w:rPr>
            <w:rStyle w:val="Hyperlink"/>
          </w:rPr>
          <w:t>Supporting workers to learn: A guide for participants who supervise workers</w:t>
        </w:r>
      </w:hyperlink>
      <w:r w:rsidR="007C37BE">
        <w:t xml:space="preserve"> </w:t>
      </w:r>
      <w:r w:rsidR="005F67BE" w:rsidRPr="007C37BE">
        <w:t>can</w:t>
      </w:r>
      <w:r w:rsidR="005F67BE">
        <w:t xml:space="preserve"> help you </w:t>
      </w:r>
      <w:r>
        <w:t xml:space="preserve">plan the </w:t>
      </w:r>
      <w:r w:rsidR="000064C3">
        <w:t xml:space="preserve">way you check your workers skills and </w:t>
      </w:r>
      <w:r w:rsidR="005F67BE">
        <w:t>work with them to get the right training</w:t>
      </w:r>
      <w:r>
        <w:t xml:space="preserve">. </w:t>
      </w:r>
    </w:p>
    <w:p w14:paraId="71219F8F" w14:textId="070A5498" w:rsidR="00F323AE" w:rsidRDefault="00F323AE" w:rsidP="007C53D9">
      <w:r>
        <w:t>You m</w:t>
      </w:r>
      <w:r w:rsidR="0056748C">
        <w:t>ay need to review and change</w:t>
      </w:r>
      <w:r>
        <w:t xml:space="preserve"> the position</w:t>
      </w:r>
      <w:r w:rsidR="0056748C">
        <w:t xml:space="preserve"> description for the worker to show</w:t>
      </w:r>
      <w:r>
        <w:t xml:space="preserve"> the new skills needed. You can refer to the </w:t>
      </w:r>
      <w:hyperlink r:id="rId15" w:history="1">
        <w:r w:rsidRPr="00F323AE">
          <w:rPr>
            <w:rStyle w:val="Hyperlink"/>
          </w:rPr>
          <w:t>Position Description Tool</w:t>
        </w:r>
      </w:hyperlink>
      <w:r>
        <w:t xml:space="preserve"> if you need to create a new position description. </w:t>
      </w:r>
    </w:p>
    <w:p w14:paraId="130DFA48" w14:textId="49C6D11F" w:rsidR="007E5C20" w:rsidRDefault="007C53D9" w:rsidP="00355525">
      <w:pPr>
        <w:pStyle w:val="Heading2"/>
      </w:pPr>
      <w:r>
        <w:t>Get</w:t>
      </w:r>
      <w:r w:rsidR="007E5C20">
        <w:t xml:space="preserve"> new workers</w:t>
      </w:r>
    </w:p>
    <w:p w14:paraId="16FD4B21" w14:textId="4135B7C0" w:rsidR="00454EFE" w:rsidRDefault="00454EFE" w:rsidP="007C53D9">
      <w:r>
        <w:t xml:space="preserve">If </w:t>
      </w:r>
      <w:r w:rsidR="007E5C20">
        <w:t>you</w:t>
      </w:r>
      <w:r>
        <w:t>r change in support</w:t>
      </w:r>
      <w:r w:rsidR="007E5C20">
        <w:t xml:space="preserve"> means you need new workers, you can use the </w:t>
      </w:r>
      <w:hyperlink r:id="rId16" w:history="1">
        <w:r w:rsidR="007E5C20" w:rsidRPr="00FF3722">
          <w:rPr>
            <w:rStyle w:val="Hyperlink"/>
          </w:rPr>
          <w:t>Recruitment and Selection Guide</w:t>
        </w:r>
      </w:hyperlink>
      <w:r>
        <w:t xml:space="preserve"> to help</w:t>
      </w:r>
      <w:r w:rsidR="007E5C20">
        <w:t xml:space="preserve"> employ </w:t>
      </w:r>
      <w:r>
        <w:t>new workers</w:t>
      </w:r>
      <w:r w:rsidR="007E5C20">
        <w:t xml:space="preserve">. </w:t>
      </w:r>
      <w:r>
        <w:t>For example:</w:t>
      </w:r>
    </w:p>
    <w:p w14:paraId="1A4769C9" w14:textId="2CECA249" w:rsidR="007E5C20" w:rsidRPr="00454EFE" w:rsidRDefault="00736DE9" w:rsidP="00454EFE">
      <w:pPr>
        <w:ind w:left="720"/>
        <w:rPr>
          <w:i/>
        </w:rPr>
      </w:pPr>
      <w:r w:rsidRPr="00736DE9">
        <w:rPr>
          <w:i/>
          <w:noProof/>
          <w:lang w:eastAsia="en-AU"/>
        </w:rPr>
        <w:drawing>
          <wp:anchor distT="0" distB="0" distL="114300" distR="114300" simplePos="0" relativeHeight="251661312" behindDoc="0" locked="0" layoutInCell="1" allowOverlap="1" wp14:anchorId="0B83B9EC" wp14:editId="371C51E0">
            <wp:simplePos x="0" y="0"/>
            <wp:positionH relativeFrom="column">
              <wp:posOffset>0</wp:posOffset>
            </wp:positionH>
            <wp:positionV relativeFrom="paragraph">
              <wp:posOffset>24471</wp:posOffset>
            </wp:positionV>
            <wp:extent cx="507365" cy="507365"/>
            <wp:effectExtent l="0" t="0" r="6985" b="6985"/>
            <wp:wrapSquare wrapText="bothSides"/>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FNAS002N\Users\SJ0056\My Documents\Strategy and Policy work\WCF\Communications\NDIS Icons\Outline\Green\PNG\question-outline-gre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anchor>
        </w:drawing>
      </w:r>
      <w:r w:rsidR="00454EFE" w:rsidRPr="00454EFE">
        <w:rPr>
          <w:i/>
        </w:rPr>
        <w:t>Ang is planning to move into his new home that is over an hour away from where he currently lives. He needs to find workers and providers who can support him in his new home and help him</w:t>
      </w:r>
      <w:r w:rsidR="00393F41">
        <w:rPr>
          <w:i/>
        </w:rPr>
        <w:t xml:space="preserve"> get to know his new community.</w:t>
      </w:r>
    </w:p>
    <w:p w14:paraId="3B8E2D54" w14:textId="2B54B44A" w:rsidR="00393F41" w:rsidRDefault="007E5C20" w:rsidP="007C53D9">
      <w:r>
        <w:t xml:space="preserve">If you </w:t>
      </w:r>
      <w:r w:rsidR="0056748C">
        <w:t>use a provider, you can have a talk to</w:t>
      </w:r>
      <w:r>
        <w:t xml:space="preserve"> your provider about whether they have other workers that can support you. </w:t>
      </w:r>
    </w:p>
    <w:p w14:paraId="077908EA" w14:textId="495312FE" w:rsidR="007E5C20" w:rsidRDefault="0056748C" w:rsidP="007C53D9">
      <w:r>
        <w:t>Y</w:t>
      </w:r>
      <w:r w:rsidR="007E5C20">
        <w:t xml:space="preserve">our service agreement might change if your supports change. For more information, visit the NDIA’s website on </w:t>
      </w:r>
      <w:hyperlink r:id="rId18" w:history="1">
        <w:r w:rsidR="007E5C20" w:rsidRPr="00AE5939">
          <w:rPr>
            <w:rStyle w:val="Hyperlink"/>
          </w:rPr>
          <w:t>Using your service agreement</w:t>
        </w:r>
      </w:hyperlink>
      <w:r w:rsidR="007E5C20">
        <w:t>.</w:t>
      </w:r>
    </w:p>
    <w:p w14:paraId="4957B088" w14:textId="3D05DE8A" w:rsidR="007E5C20" w:rsidRDefault="007E5C20" w:rsidP="007C53D9">
      <w:r>
        <w:t xml:space="preserve">You can visit the Frameworks </w:t>
      </w:r>
      <w:hyperlink r:id="rId19" w:anchor="tab-panel-01" w:history="1">
        <w:r w:rsidRPr="002869D5">
          <w:rPr>
            <w:rStyle w:val="Hyperlink"/>
          </w:rPr>
          <w:t>website</w:t>
        </w:r>
      </w:hyperlink>
      <w:r>
        <w:t xml:space="preserve"> for resources to help you find a NDIS provider that suits you</w:t>
      </w:r>
      <w:r w:rsidR="005050B7">
        <w:t>. You can also</w:t>
      </w:r>
      <w:r w:rsidR="007C53D9">
        <w:t xml:space="preserve"> check </w:t>
      </w:r>
      <w:r w:rsidR="005050B7">
        <w:t>which workers and providers have been banned or must improve</w:t>
      </w:r>
      <w:r>
        <w:t xml:space="preserve">.  </w:t>
      </w:r>
    </w:p>
    <w:p w14:paraId="048BDA69" w14:textId="77777777" w:rsidR="00393F41" w:rsidRDefault="00393F41" w:rsidP="00393F41">
      <w:pPr>
        <w:pStyle w:val="Heading2"/>
      </w:pPr>
      <w:r>
        <w:t xml:space="preserve">Change your NDIS plan </w:t>
      </w:r>
    </w:p>
    <w:p w14:paraId="0446A84B" w14:textId="0EF3114D" w:rsidR="00393F41" w:rsidRDefault="00393F41" w:rsidP="00393F41">
      <w:r>
        <w:t>If your personal circumstances have changed significantly</w:t>
      </w:r>
      <w:r w:rsidR="000C727D">
        <w:t xml:space="preserve"> </w:t>
      </w:r>
      <w:r>
        <w:t xml:space="preserve">and it might affect your NDIS Plan, you can let the </w:t>
      </w:r>
      <w:r w:rsidRPr="003A23FA">
        <w:t>National</w:t>
      </w:r>
      <w:r>
        <w:t xml:space="preserve"> Disability Insurance Agency (NDIA) know of your situation. </w:t>
      </w:r>
      <w:r w:rsidR="000C727D">
        <w:t>For example if your health needs change permanently or your family support changes.</w:t>
      </w:r>
    </w:p>
    <w:p w14:paraId="25B2F6ED" w14:textId="77777777" w:rsidR="00393F41" w:rsidRPr="00454EFE" w:rsidRDefault="00393F41" w:rsidP="00393F41">
      <w:r>
        <w:t xml:space="preserve">Visit the NDIA website for more information on what to do if you have a </w:t>
      </w:r>
      <w:hyperlink r:id="rId20" w:history="1">
        <w:r w:rsidRPr="00780ACB">
          <w:rPr>
            <w:rStyle w:val="Hyperlink"/>
          </w:rPr>
          <w:t>change in circumstances</w:t>
        </w:r>
      </w:hyperlink>
      <w:r>
        <w:t>.</w:t>
      </w:r>
    </w:p>
    <w:p w14:paraId="18CFCF4A" w14:textId="77777777" w:rsidR="005050B7" w:rsidRPr="00454EFE" w:rsidRDefault="005050B7"/>
    <w:sectPr w:rsidR="005050B7" w:rsidRPr="00454EFE" w:rsidSect="00513096">
      <w:headerReference w:type="default" r:id="rId21"/>
      <w:footerReference w:type="default" r:id="rId22"/>
      <w:headerReference w:type="first" r:id="rId23"/>
      <w:footerReference w:type="first" r:id="rId24"/>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0EB3F" w14:textId="77777777" w:rsidR="00AB5DC5" w:rsidRDefault="00AB5DC5" w:rsidP="008E21DE">
      <w:pPr>
        <w:spacing w:before="0" w:after="0"/>
      </w:pPr>
      <w:r>
        <w:separator/>
      </w:r>
    </w:p>
  </w:endnote>
  <w:endnote w:type="continuationSeparator" w:id="0">
    <w:p w14:paraId="7F2FB7EB" w14:textId="77777777" w:rsidR="00AB5DC5" w:rsidRDefault="00AB5DC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F8A14"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68EC2080" w:rsidR="00FD66D7" w:rsidRPr="00D23398" w:rsidRDefault="00D23398" w:rsidP="00D23398">
    <w:pPr>
      <w:pStyle w:val="Footer"/>
      <w:rPr>
        <w:sz w:val="18"/>
        <w:szCs w:val="18"/>
      </w:rPr>
    </w:pPr>
    <w:r w:rsidRPr="00C506B8">
      <w:rPr>
        <w:sz w:val="18"/>
        <w:szCs w:val="18"/>
      </w:rPr>
      <w:t xml:space="preserve">NDIS Workforce Capability Framework | </w:t>
    </w:r>
    <w:r w:rsidR="00C97BEE" w:rsidRPr="006657F6">
      <w:rPr>
        <w:sz w:val="18"/>
        <w:szCs w:val="18"/>
      </w:rPr>
      <w:t>Tip sheet</w:t>
    </w:r>
    <w:r w:rsidR="00C97BEE">
      <w:rPr>
        <w:sz w:val="18"/>
        <w:szCs w:val="18"/>
      </w:rPr>
      <w:t xml:space="preserve"> </w:t>
    </w:r>
    <w:r w:rsidR="00C97BEE" w:rsidRPr="006657F6">
      <w:rPr>
        <w:sz w:val="18"/>
        <w:szCs w:val="18"/>
      </w:rPr>
      <w:t xml:space="preserve">– </w:t>
    </w:r>
    <w:r w:rsidR="00C97BEE">
      <w:rPr>
        <w:sz w:val="18"/>
        <w:szCs w:val="18"/>
      </w:rPr>
      <w:t>What</w:t>
    </w:r>
    <w:r w:rsidR="00C97BEE" w:rsidRPr="006657F6">
      <w:rPr>
        <w:sz w:val="18"/>
        <w:szCs w:val="18"/>
      </w:rPr>
      <w:t xml:space="preserve"> to do when support needs change </w:t>
    </w:r>
    <w:r w:rsidR="00C97BEE">
      <w:rPr>
        <w:sz w:val="18"/>
        <w:szCs w:val="18"/>
      </w:rPr>
      <w:t>– J</w:t>
    </w:r>
    <w:r w:rsidR="007C37BE">
      <w:rPr>
        <w:sz w:val="18"/>
        <w:szCs w:val="18"/>
      </w:rPr>
      <w:t>uly</w:t>
    </w:r>
    <w:r w:rsidR="00C97BEE">
      <w:rPr>
        <w:sz w:val="18"/>
        <w:szCs w:val="18"/>
      </w:rPr>
      <w:t xml:space="preserve">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6C57C4">
      <w:rPr>
        <w:noProof/>
        <w:sz w:val="18"/>
        <w:szCs w:val="18"/>
      </w:rPr>
      <w:t>2</w:t>
    </w:r>
    <w:r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513096" w:rsidRDefault="00513096"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2F035"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91D5FD" w14:textId="4F2DBE08" w:rsidR="00513096" w:rsidRPr="00D23398" w:rsidRDefault="00513096" w:rsidP="00513096">
    <w:pPr>
      <w:pStyle w:val="Footer"/>
      <w:rPr>
        <w:sz w:val="18"/>
        <w:szCs w:val="18"/>
      </w:rPr>
    </w:pPr>
    <w:r w:rsidRPr="00C506B8">
      <w:rPr>
        <w:sz w:val="18"/>
        <w:szCs w:val="18"/>
      </w:rPr>
      <w:t xml:space="preserve">NDIS Workforce Capability </w:t>
    </w:r>
    <w:r w:rsidR="00CC768D">
      <w:rPr>
        <w:sz w:val="18"/>
        <w:szCs w:val="18"/>
      </w:rPr>
      <w:t>Framework |</w:t>
    </w:r>
    <w:r w:rsidR="006657F6" w:rsidRPr="006657F6">
      <w:t xml:space="preserve"> </w:t>
    </w:r>
    <w:r w:rsidR="006657F6" w:rsidRPr="006657F6">
      <w:rPr>
        <w:sz w:val="18"/>
        <w:szCs w:val="18"/>
      </w:rPr>
      <w:t>Tip sheet</w:t>
    </w:r>
    <w:r w:rsidR="006657F6">
      <w:rPr>
        <w:sz w:val="18"/>
        <w:szCs w:val="18"/>
      </w:rPr>
      <w:t xml:space="preserve"> </w:t>
    </w:r>
    <w:r w:rsidR="00856513" w:rsidRPr="006657F6">
      <w:rPr>
        <w:sz w:val="18"/>
        <w:szCs w:val="18"/>
      </w:rPr>
      <w:t xml:space="preserve">– </w:t>
    </w:r>
    <w:r w:rsidR="00856513">
      <w:rPr>
        <w:sz w:val="18"/>
        <w:szCs w:val="18"/>
      </w:rPr>
      <w:t>What</w:t>
    </w:r>
    <w:r w:rsidR="006657F6" w:rsidRPr="006657F6">
      <w:rPr>
        <w:sz w:val="18"/>
        <w:szCs w:val="18"/>
      </w:rPr>
      <w:t xml:space="preserve"> to do when support needs change </w:t>
    </w:r>
    <w:r w:rsidR="006657F6">
      <w:rPr>
        <w:sz w:val="18"/>
        <w:szCs w:val="18"/>
      </w:rPr>
      <w:t>–</w:t>
    </w:r>
    <w:r w:rsidR="00CC768D">
      <w:rPr>
        <w:sz w:val="18"/>
        <w:szCs w:val="18"/>
      </w:rPr>
      <w:t xml:space="preserve"> </w:t>
    </w:r>
    <w:r w:rsidR="006657F6">
      <w:rPr>
        <w:sz w:val="18"/>
        <w:szCs w:val="18"/>
      </w:rPr>
      <w:t>Ju</w:t>
    </w:r>
    <w:r w:rsidR="007C37BE">
      <w:rPr>
        <w:sz w:val="18"/>
        <w:szCs w:val="18"/>
      </w:rPr>
      <w:t>ly</w:t>
    </w:r>
    <w:r w:rsidR="006657F6">
      <w:rPr>
        <w:sz w:val="18"/>
        <w:szCs w:val="18"/>
      </w:rPr>
      <w:t xml:space="preserve">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6C57C4">
      <w:rPr>
        <w:noProof/>
        <w:sz w:val="18"/>
        <w:szCs w:val="18"/>
      </w:rPr>
      <w:t>1</w:t>
    </w:r>
    <w:r w:rsidRPr="00C506B8">
      <w:rPr>
        <w:noProof/>
        <w:sz w:val="18"/>
        <w:szCs w:val="18"/>
      </w:rPr>
      <w:fldChar w:fldCharType="end"/>
    </w:r>
  </w:p>
  <w:p w14:paraId="5ACBEC2D" w14:textId="77777777" w:rsidR="00513096" w:rsidRDefault="0051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D6013" w14:textId="77777777" w:rsidR="00AB5DC5" w:rsidRDefault="00AB5DC5" w:rsidP="008E21DE">
      <w:pPr>
        <w:spacing w:before="0" w:after="0"/>
      </w:pPr>
      <w:r>
        <w:separator/>
      </w:r>
    </w:p>
  </w:footnote>
  <w:footnote w:type="continuationSeparator" w:id="0">
    <w:p w14:paraId="70B6A67C" w14:textId="77777777" w:rsidR="00AB5DC5" w:rsidRDefault="00AB5DC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77777777" w:rsidR="008B7938" w:rsidRDefault="008B7938">
    <w:pPr>
      <w:pStyle w:val="Header"/>
    </w:pPr>
  </w:p>
  <w:p w14:paraId="28B68D30" w14:textId="77777777"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4E6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5F1EFD66" w:rsidR="00361B3F" w:rsidRDefault="00F3511A" w:rsidP="003C4848">
    <w:pPr>
      <w:pStyle w:val="Header"/>
      <w:tabs>
        <w:tab w:val="clear" w:pos="4513"/>
        <w:tab w:val="left" w:pos="0"/>
        <w:tab w:val="left" w:pos="1560"/>
        <w:tab w:val="left" w:pos="3402"/>
      </w:tabs>
      <w:ind w:left="-1418"/>
      <w:rPr>
        <w:noProof/>
        <w:lang w:eastAsia="en-AU"/>
      </w:rPr>
    </w:pPr>
    <w:r>
      <w:rPr>
        <w:noProof/>
        <w:sz w:val="84"/>
        <w:szCs w:val="84"/>
        <w:lang w:eastAsia="en-AU"/>
      </w:rPr>
      <w:drawing>
        <wp:inline distT="0" distB="0" distL="0" distR="0" wp14:anchorId="36C81BF0" wp14:editId="42EC0CDE">
          <wp:extent cx="7543752" cy="1287145"/>
          <wp:effectExtent l="0" t="0" r="635" b="8255"/>
          <wp:docPr id="23" name="Picture 23" descr="NDIS Quality and Safeguard Commission and NDIS Workforce Capability Framework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961" b="86961"/>
                  <a:stretch/>
                </pic:blipFill>
                <pic:spPr bwMode="auto">
                  <a:xfrm>
                    <a:off x="0" y="0"/>
                    <a:ext cx="7551682" cy="1288498"/>
                  </a:xfrm>
                  <a:prstGeom prst="rect">
                    <a:avLst/>
                  </a:prstGeom>
                  <a:noFill/>
                  <a:ln>
                    <a:noFill/>
                  </a:ln>
                  <a:extLst>
                    <a:ext uri="{53640926-AAD7-44D8-BBD7-CCE9431645EC}">
                      <a14:shadowObscured xmlns:a14="http://schemas.microsoft.com/office/drawing/2010/main"/>
                    </a:ext>
                  </a:extLst>
                </pic:spPr>
              </pic:pic>
            </a:graphicData>
          </a:graphic>
        </wp:inline>
      </w:drawing>
    </w:r>
  </w:p>
  <w:p w14:paraId="0B2D481F" w14:textId="1198393C" w:rsidR="00182709" w:rsidRDefault="00E72A95" w:rsidP="003C4848">
    <w:pPr>
      <w:pStyle w:val="Header"/>
      <w:tabs>
        <w:tab w:val="clear" w:pos="4513"/>
        <w:tab w:val="left" w:pos="0"/>
        <w:tab w:val="left" w:pos="1560"/>
        <w:tab w:val="left" w:pos="3119"/>
        <w:tab w:val="left" w:pos="4678"/>
        <w:tab w:val="left" w:pos="6237"/>
      </w:tabs>
      <w:ind w:left="-1418"/>
      <w:rPr>
        <w:noProof/>
        <w:lang w:eastAsia="en-AU"/>
      </w:rPr>
    </w:pPr>
    <w:r>
      <w:rPr>
        <w:noProof/>
        <w:lang w:eastAsia="en-AU"/>
      </w:rPr>
      <w:tab/>
    </w:r>
    <w:r>
      <w:rPr>
        <w:noProof/>
        <w:sz w:val="84"/>
        <w:szCs w:val="84"/>
        <w:lang w:eastAsia="en-AU"/>
      </w:rPr>
      <w:drawing>
        <wp:inline distT="0" distB="0" distL="0" distR="0" wp14:anchorId="258D2A0F" wp14:editId="4E4B58C2">
          <wp:extent cx="715641" cy="716280"/>
          <wp:effectExtent l="0" t="0" r="8890" b="7620"/>
          <wp:docPr id="9" name="Picture 9"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DIS Workforce Capability Framework icon representing NDIS participants. The icon is a solid green circle with a solid white image in the centre. The white image is shaped like a small case letter 'i'.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r w:rsidR="009E4FE7">
      <w:rPr>
        <w:noProof/>
        <w:lang w:eastAsia="en-AU"/>
      </w:rPr>
      <w:tab/>
    </w:r>
    <w:r w:rsidR="009E4FE7">
      <w:rPr>
        <w:noProof/>
        <w:lang w:eastAsia="en-AU"/>
      </w:rPr>
      <w:tab/>
    </w:r>
    <w:r w:rsidR="009E4FE7">
      <w:rPr>
        <w:noProof/>
        <w:lang w:eastAsia="en-AU"/>
      </w:rPr>
      <w:tab/>
    </w:r>
    <w:r w:rsidR="009E4FE7">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64C50EE"/>
    <w:multiLevelType w:val="hybridMultilevel"/>
    <w:tmpl w:val="F0C67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295D30"/>
    <w:multiLevelType w:val="hybridMultilevel"/>
    <w:tmpl w:val="2DA222BC"/>
    <w:lvl w:ilvl="0" w:tplc="EED628F4">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95095B"/>
    <w:multiLevelType w:val="hybridMultilevel"/>
    <w:tmpl w:val="E80E04D2"/>
    <w:lvl w:ilvl="0" w:tplc="D0DE5C0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355F0"/>
    <w:multiLevelType w:val="hybridMultilevel"/>
    <w:tmpl w:val="50F40342"/>
    <w:lvl w:ilvl="0" w:tplc="EED628F4">
      <w:start w:val="1"/>
      <w:numFmt w:val="bullet"/>
      <w:lvlText w:val=""/>
      <w:lvlJc w:val="left"/>
      <w:pPr>
        <w:ind w:left="7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2BF533F"/>
    <w:multiLevelType w:val="hybridMultilevel"/>
    <w:tmpl w:val="595819EC"/>
    <w:lvl w:ilvl="0" w:tplc="AAF6388A">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8" w15:restartNumberingAfterBreak="0">
    <w:nsid w:val="48F35B50"/>
    <w:multiLevelType w:val="hybridMultilevel"/>
    <w:tmpl w:val="D14E4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587F78"/>
    <w:multiLevelType w:val="multilevel"/>
    <w:tmpl w:val="07629034"/>
    <w:numStyleLink w:val="KCBullets"/>
  </w:abstractNum>
  <w:abstractNum w:abstractNumId="20" w15:restartNumberingAfterBreak="0">
    <w:nsid w:val="50517343"/>
    <w:multiLevelType w:val="multilevel"/>
    <w:tmpl w:val="131EEC6C"/>
    <w:numStyleLink w:val="TableNumbers"/>
  </w:abstractNum>
  <w:abstractNum w:abstractNumId="21" w15:restartNumberingAfterBreak="0">
    <w:nsid w:val="50E12008"/>
    <w:multiLevelType w:val="multilevel"/>
    <w:tmpl w:val="07629034"/>
    <w:numStyleLink w:val="KCBullets"/>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D4F423B"/>
    <w:multiLevelType w:val="multilevel"/>
    <w:tmpl w:val="4A7CCC2C"/>
    <w:numStyleLink w:val="DefaultBullets"/>
  </w:abstractNum>
  <w:abstractNum w:abstractNumId="29" w15:restartNumberingAfterBreak="0">
    <w:nsid w:val="6E3B1155"/>
    <w:multiLevelType w:val="hybridMultilevel"/>
    <w:tmpl w:val="3AF09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abstractNum w:abstractNumId="32" w15:restartNumberingAfterBreak="0">
    <w:nsid w:val="7EE44065"/>
    <w:multiLevelType w:val="multilevel"/>
    <w:tmpl w:val="A41689A2"/>
    <w:numStyleLink w:val="AppendixNumbers"/>
  </w:abstractNum>
  <w:num w:numId="1">
    <w:abstractNumId w:val="4"/>
  </w:num>
  <w:num w:numId="2">
    <w:abstractNumId w:val="32"/>
  </w:num>
  <w:num w:numId="3">
    <w:abstractNumId w:val="22"/>
  </w:num>
  <w:num w:numId="4">
    <w:abstractNumId w:val="31"/>
  </w:num>
  <w:num w:numId="5">
    <w:abstractNumId w:val="31"/>
  </w:num>
  <w:num w:numId="6">
    <w:abstractNumId w:val="16"/>
  </w:num>
  <w:num w:numId="7">
    <w:abstractNumId w:val="21"/>
  </w:num>
  <w:num w:numId="8">
    <w:abstractNumId w:val="21"/>
  </w:num>
  <w:num w:numId="9">
    <w:abstractNumId w:val="21"/>
  </w:num>
  <w:num w:numId="10">
    <w:abstractNumId w:val="8"/>
  </w:num>
  <w:num w:numId="11">
    <w:abstractNumId w:val="23"/>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6"/>
  </w:num>
  <w:num w:numId="20">
    <w:abstractNumId w:val="25"/>
  </w:num>
  <w:num w:numId="21">
    <w:abstractNumId w:val="25"/>
  </w:num>
  <w:num w:numId="22">
    <w:abstractNumId w:val="25"/>
  </w:num>
  <w:num w:numId="23">
    <w:abstractNumId w:val="24"/>
  </w:num>
  <w:num w:numId="24">
    <w:abstractNumId w:val="12"/>
  </w:num>
  <w:num w:numId="25">
    <w:abstractNumId w:val="9"/>
  </w:num>
  <w:num w:numId="26">
    <w:abstractNumId w:val="20"/>
  </w:num>
  <w:num w:numId="27">
    <w:abstractNumId w:val="0"/>
  </w:num>
  <w:num w:numId="28">
    <w:abstractNumId w:val="30"/>
  </w:num>
  <w:num w:numId="29">
    <w:abstractNumId w:val="3"/>
  </w:num>
  <w:num w:numId="30">
    <w:abstractNumId w:val="2"/>
  </w:num>
  <w:num w:numId="31">
    <w:abstractNumId w:val="1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9"/>
  </w:num>
  <w:num w:numId="37">
    <w:abstractNumId w:val="7"/>
  </w:num>
  <w:num w:numId="38">
    <w:abstractNumId w:val="13"/>
  </w:num>
  <w:num w:numId="39">
    <w:abstractNumId w:val="14"/>
  </w:num>
  <w:num w:numId="40">
    <w:abstractNumId w:val="1"/>
  </w:num>
  <w:num w:numId="41">
    <w:abstractNumId w:val="17"/>
  </w:num>
  <w:num w:numId="42">
    <w:abstractNumId w:val="5"/>
  </w:num>
  <w:num w:numId="43">
    <w:abstractNumId w:val="15"/>
  </w:num>
  <w:num w:numId="44">
    <w:abstractNumId w:val="2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064C3"/>
    <w:rsid w:val="00011E35"/>
    <w:rsid w:val="00012C6D"/>
    <w:rsid w:val="00043D08"/>
    <w:rsid w:val="00060987"/>
    <w:rsid w:val="00080615"/>
    <w:rsid w:val="000A60A1"/>
    <w:rsid w:val="000B686A"/>
    <w:rsid w:val="000C252F"/>
    <w:rsid w:val="000C6D83"/>
    <w:rsid w:val="000C727D"/>
    <w:rsid w:val="000F3A54"/>
    <w:rsid w:val="000F48FC"/>
    <w:rsid w:val="0014565F"/>
    <w:rsid w:val="00182709"/>
    <w:rsid w:val="001A0EE3"/>
    <w:rsid w:val="001E7FDB"/>
    <w:rsid w:val="00201052"/>
    <w:rsid w:val="002066F1"/>
    <w:rsid w:val="00231AAC"/>
    <w:rsid w:val="002352DA"/>
    <w:rsid w:val="002451A6"/>
    <w:rsid w:val="00251FFB"/>
    <w:rsid w:val="00262A75"/>
    <w:rsid w:val="002804D3"/>
    <w:rsid w:val="002869D5"/>
    <w:rsid w:val="002A0D64"/>
    <w:rsid w:val="002A578C"/>
    <w:rsid w:val="002F3B9E"/>
    <w:rsid w:val="00325287"/>
    <w:rsid w:val="00326D7C"/>
    <w:rsid w:val="003449A0"/>
    <w:rsid w:val="00355525"/>
    <w:rsid w:val="00361B3F"/>
    <w:rsid w:val="00362AB6"/>
    <w:rsid w:val="00363D5F"/>
    <w:rsid w:val="00380E00"/>
    <w:rsid w:val="003938E6"/>
    <w:rsid w:val="00393F41"/>
    <w:rsid w:val="003A23FA"/>
    <w:rsid w:val="003C4848"/>
    <w:rsid w:val="003E2F15"/>
    <w:rsid w:val="003F29B8"/>
    <w:rsid w:val="004154E2"/>
    <w:rsid w:val="00432F83"/>
    <w:rsid w:val="00454EFE"/>
    <w:rsid w:val="004D4273"/>
    <w:rsid w:val="005050B7"/>
    <w:rsid w:val="00511FB0"/>
    <w:rsid w:val="00513096"/>
    <w:rsid w:val="00514644"/>
    <w:rsid w:val="00534D53"/>
    <w:rsid w:val="00537B45"/>
    <w:rsid w:val="0056186C"/>
    <w:rsid w:val="0056748C"/>
    <w:rsid w:val="005775F4"/>
    <w:rsid w:val="00596A7E"/>
    <w:rsid w:val="005B053D"/>
    <w:rsid w:val="005D249E"/>
    <w:rsid w:val="005F24CC"/>
    <w:rsid w:val="005F67BE"/>
    <w:rsid w:val="0060426B"/>
    <w:rsid w:val="00625854"/>
    <w:rsid w:val="00651348"/>
    <w:rsid w:val="0065525B"/>
    <w:rsid w:val="006657F6"/>
    <w:rsid w:val="00680A20"/>
    <w:rsid w:val="00680F04"/>
    <w:rsid w:val="006C57C4"/>
    <w:rsid w:val="006D3084"/>
    <w:rsid w:val="006D6D91"/>
    <w:rsid w:val="007014BF"/>
    <w:rsid w:val="00736DE9"/>
    <w:rsid w:val="00761340"/>
    <w:rsid w:val="0078103B"/>
    <w:rsid w:val="007A191A"/>
    <w:rsid w:val="007B5267"/>
    <w:rsid w:val="007B75CB"/>
    <w:rsid w:val="007C37BE"/>
    <w:rsid w:val="007C53D9"/>
    <w:rsid w:val="007E5C20"/>
    <w:rsid w:val="0080215D"/>
    <w:rsid w:val="00807FCF"/>
    <w:rsid w:val="00824257"/>
    <w:rsid w:val="00855272"/>
    <w:rsid w:val="00856513"/>
    <w:rsid w:val="0086034C"/>
    <w:rsid w:val="008744DF"/>
    <w:rsid w:val="008A649A"/>
    <w:rsid w:val="008B7938"/>
    <w:rsid w:val="008D0E34"/>
    <w:rsid w:val="008E21DE"/>
    <w:rsid w:val="008F0137"/>
    <w:rsid w:val="008F4738"/>
    <w:rsid w:val="008F61BA"/>
    <w:rsid w:val="0091501B"/>
    <w:rsid w:val="0092679E"/>
    <w:rsid w:val="0094791D"/>
    <w:rsid w:val="009539C8"/>
    <w:rsid w:val="009A4EC3"/>
    <w:rsid w:val="009D06E2"/>
    <w:rsid w:val="009D4418"/>
    <w:rsid w:val="009E1A26"/>
    <w:rsid w:val="009E239E"/>
    <w:rsid w:val="009E4FE7"/>
    <w:rsid w:val="009F4EAA"/>
    <w:rsid w:val="00A07E4A"/>
    <w:rsid w:val="00A60009"/>
    <w:rsid w:val="00A6168B"/>
    <w:rsid w:val="00A846A7"/>
    <w:rsid w:val="00AA094B"/>
    <w:rsid w:val="00AB10CB"/>
    <w:rsid w:val="00AB12D5"/>
    <w:rsid w:val="00AB5DC5"/>
    <w:rsid w:val="00AB7A1D"/>
    <w:rsid w:val="00AD735D"/>
    <w:rsid w:val="00AE5939"/>
    <w:rsid w:val="00AF0899"/>
    <w:rsid w:val="00B02A41"/>
    <w:rsid w:val="00B141DF"/>
    <w:rsid w:val="00B21014"/>
    <w:rsid w:val="00B603C0"/>
    <w:rsid w:val="00B707A1"/>
    <w:rsid w:val="00B73271"/>
    <w:rsid w:val="00B82FE8"/>
    <w:rsid w:val="00B83070"/>
    <w:rsid w:val="00B83AB4"/>
    <w:rsid w:val="00B85064"/>
    <w:rsid w:val="00BA4FF9"/>
    <w:rsid w:val="00BB68C4"/>
    <w:rsid w:val="00BC3BA1"/>
    <w:rsid w:val="00BD686A"/>
    <w:rsid w:val="00C0421C"/>
    <w:rsid w:val="00C07C08"/>
    <w:rsid w:val="00C10202"/>
    <w:rsid w:val="00C13153"/>
    <w:rsid w:val="00C21944"/>
    <w:rsid w:val="00C2698C"/>
    <w:rsid w:val="00C506B8"/>
    <w:rsid w:val="00C52C59"/>
    <w:rsid w:val="00C821CF"/>
    <w:rsid w:val="00C83F3D"/>
    <w:rsid w:val="00C84BA5"/>
    <w:rsid w:val="00C90DF2"/>
    <w:rsid w:val="00C97BEE"/>
    <w:rsid w:val="00CA1D19"/>
    <w:rsid w:val="00CA2DDA"/>
    <w:rsid w:val="00CB41BD"/>
    <w:rsid w:val="00CB64BD"/>
    <w:rsid w:val="00CC768D"/>
    <w:rsid w:val="00CD00E7"/>
    <w:rsid w:val="00CD0960"/>
    <w:rsid w:val="00CF2420"/>
    <w:rsid w:val="00D23398"/>
    <w:rsid w:val="00D2759F"/>
    <w:rsid w:val="00D3394B"/>
    <w:rsid w:val="00D4203A"/>
    <w:rsid w:val="00D53437"/>
    <w:rsid w:val="00D9176A"/>
    <w:rsid w:val="00DC1535"/>
    <w:rsid w:val="00DF74BA"/>
    <w:rsid w:val="00E20E1B"/>
    <w:rsid w:val="00E243C4"/>
    <w:rsid w:val="00E260AC"/>
    <w:rsid w:val="00E40290"/>
    <w:rsid w:val="00E54B6B"/>
    <w:rsid w:val="00E72A95"/>
    <w:rsid w:val="00E82FE7"/>
    <w:rsid w:val="00EA5F30"/>
    <w:rsid w:val="00EB07BC"/>
    <w:rsid w:val="00EE3E9E"/>
    <w:rsid w:val="00EE737C"/>
    <w:rsid w:val="00F2445E"/>
    <w:rsid w:val="00F323AE"/>
    <w:rsid w:val="00F3511A"/>
    <w:rsid w:val="00F41613"/>
    <w:rsid w:val="00F438F5"/>
    <w:rsid w:val="00F9318C"/>
    <w:rsid w:val="00FA4698"/>
    <w:rsid w:val="00FC696F"/>
    <w:rsid w:val="00FD66D7"/>
    <w:rsid w:val="00FF3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3F5F1"/>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26B"/>
    <w:pPr>
      <w:suppressAutoHyphens/>
      <w:spacing w:before="200" w:after="200" w:line="280" w:lineRule="atLeast"/>
    </w:pPr>
    <w:rPr>
      <w:sz w:val="24"/>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autoRedefine/>
    <w:qFormat/>
    <w:rsid w:val="00454EFE"/>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unhideWhenUsed/>
    <w:qFormat/>
    <w:rsid w:val="00824257"/>
    <w:pPr>
      <w:ind w:left="720"/>
      <w:contextualSpacing/>
    </w:pPr>
  </w:style>
  <w:style w:type="character" w:customStyle="1" w:styleId="ui-provider">
    <w:name w:val="ui-provider"/>
    <w:basedOn w:val="DefaultParagraphFont"/>
    <w:rsid w:val="00E54B6B"/>
  </w:style>
  <w:style w:type="paragraph" w:styleId="Revision">
    <w:name w:val="Revision"/>
    <w:hidden/>
    <w:uiPriority w:val="99"/>
    <w:semiHidden/>
    <w:rsid w:val="00A6168B"/>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2327">
      <w:bodyDiv w:val="1"/>
      <w:marLeft w:val="0"/>
      <w:marRight w:val="0"/>
      <w:marTop w:val="0"/>
      <w:marBottom w:val="0"/>
      <w:divBdr>
        <w:top w:val="none" w:sz="0" w:space="0" w:color="auto"/>
        <w:left w:val="none" w:sz="0" w:space="0" w:color="auto"/>
        <w:bottom w:val="none" w:sz="0" w:space="0" w:color="auto"/>
        <w:right w:val="none" w:sz="0" w:space="0" w:color="auto"/>
      </w:divBdr>
    </w:div>
    <w:div w:id="14156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ndis.gov.au/participants/working-providers/making-service-agreement/using-your-service-agree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orkforcecapability.ndiscommission.gov.au/tools-and-resources/recruitment-resources/participant/choose-method" TargetMode="External"/><Relationship Id="rId20" Type="http://schemas.openxmlformats.org/officeDocument/2006/relationships/hyperlink" Target="https://www.ndis.gov.au/participants/using-your-plan/changing-your-plan/change-circumst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forcecapability.ndiscommission.gov.au/sites/default/files/2023-07/Checklist%20-%20Giving%20feedback%20to%20workers.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orkforcecapability.ndiscommission.gov.au/tools-and-resources/position-description-builder" TargetMode="External"/><Relationship Id="rId23" Type="http://schemas.openxmlformats.org/officeDocument/2006/relationships/header" Target="header2.xml"/><Relationship Id="rId10" Type="http://schemas.openxmlformats.org/officeDocument/2006/relationships/hyperlink" Target="https://workforcecapability.ndiscommission.gov.au/sites/default/files/2023-07/Tip%20sheet%20%E2%80%93%20Giving%20feedback%20to%20workers%20and%20providers.DOCX" TargetMode="External"/><Relationship Id="rId19" Type="http://schemas.openxmlformats.org/officeDocument/2006/relationships/hyperlink" Target="https://workforcecapability.ndiscommission.gov.au/participants" TargetMode="External"/><Relationship Id="rId4" Type="http://schemas.openxmlformats.org/officeDocument/2006/relationships/settings" Target="settings.xml"/><Relationship Id="rId9" Type="http://schemas.openxmlformats.org/officeDocument/2006/relationships/hyperlink" Target="https://workforcecapability.ndiscommission.gov.au/tools-and-resources/supervision-capability" TargetMode="External"/><Relationship Id="rId14" Type="http://schemas.openxmlformats.org/officeDocument/2006/relationships/hyperlink" Target="https://workforcecapability.ndiscommission.gov.au/sites/default/files/2023-07/Supporting%20workers%20to%20learn%20-%20A%20guide%20for%20participants%20who%20supervise%20workers.DOCX"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08A1F-24B6-4AC9-BB0F-4A6FE139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4</TotalTime>
  <Pages>2</Pages>
  <Words>631</Words>
  <Characters>3079</Characters>
  <Application>Microsoft Office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Tip sheet - what do when support needs change</vt:lpstr>
    </vt:vector>
  </TitlesOfParts>
  <Company>NDIS Quality and Safeguards Commission</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 what do when support needs change</dc:title>
  <dc:subject/>
  <dc:creator>OWEN, Emma Jane</dc:creator>
  <cp:keywords>[SEC=OFFICIAL]</cp:keywords>
  <dc:description/>
  <cp:lastModifiedBy>RAASSINA, Melissa</cp:lastModifiedBy>
  <cp:revision>4</cp:revision>
  <dcterms:created xsi:type="dcterms:W3CDTF">2023-07-24T09:19:00Z</dcterms:created>
  <dcterms:modified xsi:type="dcterms:W3CDTF">2023-07-26T06:05:00Z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CA4BEFA15D8F4093D4816AA9C8AE9FB51A150720</vt:lpwstr>
  </property>
  <property fmtid="{D5CDD505-2E9C-101B-9397-08002B2CF9AE}" pid="11" name="PM_OriginationTimeStamp">
    <vt:lpwstr>2023-07-26T06:05:40Z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63211F839AA02DFDF81FE1D1702B8167</vt:lpwstr>
  </property>
  <property fmtid="{D5CDD505-2E9C-101B-9397-08002B2CF9AE}" pid="21" name="PM_Hash_Salt">
    <vt:lpwstr>6E1B898F4E7D0B2A1F77B7948030ECD9</vt:lpwstr>
  </property>
  <property fmtid="{D5CDD505-2E9C-101B-9397-08002B2CF9AE}" pid="22" name="PM_Hash_SHA1">
    <vt:lpwstr>8E7AC30FEB93841AB44D80DDE290C7B9B5D2929A</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